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8ADA8" w14:textId="77777777" w:rsidR="00BF066B" w:rsidRDefault="00BF066B" w:rsidP="00BF066B">
      <w:pPr>
        <w:jc w:val="both"/>
        <w:rPr>
          <w:lang w:val="fr-FR"/>
        </w:rPr>
      </w:pPr>
      <w:r>
        <w:rPr>
          <w:lang w:val="fr-FR"/>
        </w:rPr>
        <w:t xml:space="preserve">ROMÂNIA </w:t>
      </w:r>
    </w:p>
    <w:p w14:paraId="6E5AF200" w14:textId="77777777" w:rsidR="00BF066B" w:rsidRDefault="00BF066B" w:rsidP="00BF066B">
      <w:pPr>
        <w:jc w:val="both"/>
        <w:rPr>
          <w:lang w:val="fr-FR"/>
        </w:rPr>
      </w:pPr>
      <w:r>
        <w:rPr>
          <w:lang w:val="fr-FR"/>
        </w:rPr>
        <w:t>JUDEŢUL CLUJ</w:t>
      </w:r>
    </w:p>
    <w:p w14:paraId="3202E076" w14:textId="77777777" w:rsidR="00BF066B" w:rsidRDefault="00BF066B" w:rsidP="00BF066B">
      <w:pPr>
        <w:jc w:val="both"/>
        <w:rPr>
          <w:lang w:val="fr-FR"/>
        </w:rPr>
      </w:pPr>
      <w:r>
        <w:rPr>
          <w:lang w:val="fr-FR"/>
        </w:rPr>
        <w:t>MUNICIPIULUI DEJ</w:t>
      </w:r>
      <w:r>
        <w:rPr>
          <w:lang w:val="fr-FR"/>
        </w:rPr>
        <w:tab/>
      </w:r>
      <w:r>
        <w:rPr>
          <w:lang w:val="fr-FR"/>
        </w:rPr>
        <w:tab/>
      </w:r>
      <w:r>
        <w:rPr>
          <w:lang w:val="fr-FR"/>
        </w:rPr>
        <w:tab/>
      </w:r>
      <w:r>
        <w:rPr>
          <w:lang w:val="fr-FR"/>
        </w:rPr>
        <w:tab/>
      </w:r>
      <w:r>
        <w:rPr>
          <w:lang w:val="fr-FR"/>
        </w:rPr>
        <w:tab/>
      </w:r>
    </w:p>
    <w:p w14:paraId="3369EF73" w14:textId="77777777" w:rsidR="00BF066B" w:rsidRDefault="00BF066B" w:rsidP="00BF066B">
      <w:pPr>
        <w:jc w:val="both"/>
        <w:rPr>
          <w:lang w:val="fr-FR"/>
        </w:rPr>
      </w:pPr>
      <w:r>
        <w:rPr>
          <w:lang w:val="fr-FR"/>
        </w:rPr>
        <w:t xml:space="preserve">                                                                               </w:t>
      </w:r>
    </w:p>
    <w:p w14:paraId="0213EDCA" w14:textId="091EEC24" w:rsidR="00BF066B" w:rsidRDefault="00BF066B" w:rsidP="00BF066B">
      <w:pPr>
        <w:jc w:val="both"/>
        <w:rPr>
          <w:lang w:val="fr-FR"/>
        </w:rPr>
      </w:pPr>
      <w:r>
        <w:rPr>
          <w:lang w:val="fr-FR"/>
        </w:rPr>
        <w:t xml:space="preserve">nr. 8171 </w:t>
      </w:r>
      <w:r>
        <w:rPr>
          <w:lang w:val="fr-FR"/>
        </w:rPr>
        <w:t>din 12.04.2017</w:t>
      </w:r>
      <w:r>
        <w:rPr>
          <w:lang w:val="fr-FR"/>
        </w:rPr>
        <w:tab/>
      </w:r>
      <w:r>
        <w:rPr>
          <w:lang w:val="fr-FR"/>
        </w:rPr>
        <w:tab/>
      </w:r>
      <w:r>
        <w:rPr>
          <w:lang w:val="fr-FR"/>
        </w:rPr>
        <w:tab/>
      </w:r>
      <w:r>
        <w:rPr>
          <w:lang w:val="fr-FR"/>
        </w:rPr>
        <w:tab/>
      </w:r>
      <w:r>
        <w:rPr>
          <w:lang w:val="fr-FR"/>
        </w:rPr>
        <w:tab/>
      </w:r>
    </w:p>
    <w:p w14:paraId="51961E25" w14:textId="77777777" w:rsidR="00BF066B" w:rsidRDefault="00BF066B" w:rsidP="00BF066B">
      <w:pPr>
        <w:jc w:val="both"/>
        <w:rPr>
          <w:lang w:val="fr-FR"/>
        </w:rPr>
      </w:pPr>
    </w:p>
    <w:p w14:paraId="070F6164" w14:textId="77777777" w:rsidR="00BF066B" w:rsidRDefault="00BF066B" w:rsidP="00BF066B">
      <w:pPr>
        <w:jc w:val="both"/>
        <w:rPr>
          <w:lang w:val="en-GB"/>
        </w:rPr>
      </w:pPr>
      <w:r>
        <w:rPr>
          <w:lang w:val="fr-FR"/>
        </w:rPr>
        <w:tab/>
      </w:r>
      <w:bookmarkStart w:id="0" w:name="_GoBack"/>
      <w:bookmarkEnd w:id="0"/>
      <w:r>
        <w:rPr>
          <w:lang w:val="fr-FR"/>
        </w:rPr>
        <w:tab/>
      </w:r>
      <w:r>
        <w:rPr>
          <w:lang w:val="fr-FR"/>
        </w:rPr>
        <w:tab/>
      </w:r>
      <w:r>
        <w:rPr>
          <w:lang w:val="en-GB"/>
        </w:rPr>
        <w:t xml:space="preserve">          </w:t>
      </w:r>
      <w:r>
        <w:rPr>
          <w:lang w:val="en-GB"/>
        </w:rPr>
        <w:tab/>
      </w:r>
      <w:r>
        <w:rPr>
          <w:lang w:val="en-GB"/>
        </w:rPr>
        <w:tab/>
      </w:r>
      <w:r>
        <w:rPr>
          <w:lang w:val="en-GB"/>
        </w:rPr>
        <w:tab/>
      </w:r>
      <w:r>
        <w:tab/>
      </w:r>
      <w:r>
        <w:tab/>
      </w:r>
      <w:r>
        <w:tab/>
      </w:r>
      <w:r>
        <w:tab/>
      </w:r>
      <w:r>
        <w:tab/>
      </w:r>
      <w:r>
        <w:tab/>
      </w:r>
    </w:p>
    <w:p w14:paraId="7417EBAD" w14:textId="77777777" w:rsidR="00BF066B" w:rsidRDefault="00BF066B" w:rsidP="00BF066B">
      <w:pPr>
        <w:jc w:val="both"/>
        <w:rPr>
          <w:b/>
          <w:u w:val="single"/>
        </w:rPr>
      </w:pPr>
      <w:r>
        <w:rPr>
          <w:b/>
        </w:rPr>
        <w:t xml:space="preserve">                                              </w:t>
      </w:r>
      <w:r>
        <w:rPr>
          <w:b/>
          <w:u w:val="single"/>
        </w:rPr>
        <w:t>RAPORT DE SPECIALITATE</w:t>
      </w:r>
    </w:p>
    <w:p w14:paraId="54B94E72" w14:textId="77777777" w:rsidR="00BF066B" w:rsidRDefault="00BF066B" w:rsidP="00BF066B">
      <w:pPr>
        <w:jc w:val="both"/>
      </w:pPr>
      <w:r>
        <w:tab/>
      </w:r>
      <w:r>
        <w:tab/>
      </w:r>
      <w:r>
        <w:tab/>
      </w:r>
      <w:r>
        <w:tab/>
      </w:r>
      <w:r>
        <w:tab/>
        <w:t xml:space="preserve">          la</w:t>
      </w:r>
    </w:p>
    <w:p w14:paraId="64035C54" w14:textId="77777777" w:rsidR="00BF066B" w:rsidRDefault="00BF066B" w:rsidP="00BF066B">
      <w:pPr>
        <w:jc w:val="both"/>
        <w:rPr>
          <w:lang w:val="fr-FR"/>
        </w:rPr>
      </w:pPr>
      <w:r>
        <w:t xml:space="preserve">   </w:t>
      </w:r>
      <w:r>
        <w:rPr>
          <w:lang w:val="fr-FR"/>
        </w:rPr>
        <w:t xml:space="preserve">                                        PROIECTUL de HOTĂRÂRE </w:t>
      </w:r>
    </w:p>
    <w:p w14:paraId="6FF9F873" w14:textId="77777777" w:rsidR="00BF066B" w:rsidRDefault="00BF066B" w:rsidP="00BF066B">
      <w:pPr>
        <w:jc w:val="both"/>
        <w:rPr>
          <w:lang w:val="en-GB"/>
        </w:rPr>
      </w:pPr>
      <w:r>
        <w:rPr>
          <w:bCs/>
        </w:rPr>
        <w:t xml:space="preserve">                           privind </w:t>
      </w:r>
      <w:r>
        <w:t xml:space="preserve"> aprobarea mandatării  doamnei RUS CLAUDIA</w:t>
      </w:r>
    </w:p>
    <w:p w14:paraId="63BD503B" w14:textId="77777777" w:rsidR="00BF066B" w:rsidRDefault="00BF066B" w:rsidP="00BF066B">
      <w:pPr>
        <w:jc w:val="both"/>
      </w:pPr>
      <w:r>
        <w:t xml:space="preserve">   ca reprezentant al Consiliului Local al Municipiului Dej în Adunarea Generală Ordinară a       </w:t>
      </w:r>
    </w:p>
    <w:p w14:paraId="70BBDC65" w14:textId="77777777" w:rsidR="00BF066B" w:rsidRDefault="00BF066B" w:rsidP="00BF066B">
      <w:pPr>
        <w:jc w:val="both"/>
      </w:pPr>
      <w:r>
        <w:t xml:space="preserve">                  Acționarilor Societății </w:t>
      </w:r>
      <w:r>
        <w:rPr>
          <w:lang w:val="en-GB"/>
        </w:rPr>
        <w:t>“</w:t>
      </w:r>
      <w:r>
        <w:t>TRANSURB” S.A. din data de 02.06.2017,</w:t>
      </w:r>
    </w:p>
    <w:p w14:paraId="7202FD48" w14:textId="77777777" w:rsidR="00BF066B" w:rsidRDefault="00BF066B" w:rsidP="00BF066B">
      <w:pPr>
        <w:jc w:val="both"/>
      </w:pPr>
      <w:r>
        <w:t xml:space="preserve">        pentru numirea administratorilor  în conformitate cu prevederile OUG nr.109/2011</w:t>
      </w:r>
    </w:p>
    <w:p w14:paraId="77BBB740" w14:textId="77777777" w:rsidR="00BF066B" w:rsidRDefault="00BF066B" w:rsidP="00BF066B">
      <w:pPr>
        <w:jc w:val="both"/>
      </w:pPr>
    </w:p>
    <w:p w14:paraId="77721B71" w14:textId="77777777" w:rsidR="00BF066B" w:rsidRDefault="00BF066B" w:rsidP="00BF066B">
      <w:pPr>
        <w:jc w:val="both"/>
        <w:rPr>
          <w:b/>
        </w:rPr>
      </w:pPr>
      <w:r>
        <w:rPr>
          <w:b/>
        </w:rPr>
        <w:tab/>
      </w:r>
      <w:r>
        <w:rPr>
          <w:b/>
        </w:rPr>
        <w:tab/>
        <w:t xml:space="preserve">  </w:t>
      </w:r>
    </w:p>
    <w:p w14:paraId="6F93AE5E" w14:textId="77777777" w:rsidR="00BF066B" w:rsidRDefault="00BF066B" w:rsidP="00BF066B">
      <w:pPr>
        <w:ind w:firstLine="720"/>
        <w:jc w:val="both"/>
      </w:pPr>
      <w:r>
        <w:t>Consiliul de Administraţie al Societății TRANSURB S.A., prin Convocatorul nr.</w:t>
      </w:r>
      <w:r>
        <w:rPr>
          <w:b/>
        </w:rPr>
        <w:t xml:space="preserve"> </w:t>
      </w:r>
      <w:r>
        <w:rPr>
          <w:bCs/>
        </w:rPr>
        <w:t>111/12.04.2017</w:t>
      </w:r>
      <w:r>
        <w:t>, a convocat Adunarea Generală Ordinară a Acţionarilor  pe data de 02.06.2017,</w:t>
      </w:r>
      <w:r>
        <w:rPr>
          <w:b/>
        </w:rPr>
        <w:t xml:space="preserve"> </w:t>
      </w:r>
      <w:r>
        <w:t xml:space="preserve">cu convocare pentru a doua oara în data de 03.06.2017, la aceeaşi oră. Urmează ca, acţionarul Consiliul Local al Municipiului Dej să-şi mandateze reprezentantul în şedinţa Adunării Generale a Acţionarilor, pentru ca acesta să voteze pentru adoptarea hotărârilor conform ordinii de zi. </w:t>
      </w:r>
    </w:p>
    <w:p w14:paraId="0F9530C8" w14:textId="77777777" w:rsidR="00BF066B" w:rsidRDefault="00BF066B" w:rsidP="00BF066B">
      <w:pPr>
        <w:jc w:val="both"/>
      </w:pPr>
    </w:p>
    <w:p w14:paraId="697D1A08" w14:textId="77777777" w:rsidR="00BF066B" w:rsidRDefault="00BF066B" w:rsidP="00BF066B">
      <w:pPr>
        <w:jc w:val="both"/>
      </w:pPr>
      <w:r>
        <w:rPr>
          <w:b/>
        </w:rPr>
        <w:t xml:space="preserve">              Ordinea de zi a Adunării Generale Ordinare a Actionarilor,</w:t>
      </w:r>
      <w:r>
        <w:t xml:space="preserve"> conform convocatorului, este următoarea:</w:t>
      </w:r>
    </w:p>
    <w:p w14:paraId="7F5C99A4" w14:textId="77777777" w:rsidR="00BF066B" w:rsidRDefault="00BF066B" w:rsidP="00BF066B">
      <w:pPr>
        <w:jc w:val="both"/>
      </w:pPr>
      <w:r>
        <w:rPr>
          <w:b/>
        </w:rPr>
        <w:t>I.Revocarea administratorilor actuali</w:t>
      </w:r>
      <w:r>
        <w:t xml:space="preserve"> ai Societații TRANSURB S.A.</w:t>
      </w:r>
    </w:p>
    <w:p w14:paraId="1E7F28A2" w14:textId="77777777" w:rsidR="00BF066B" w:rsidRDefault="00BF066B" w:rsidP="00BF066B">
      <w:pPr>
        <w:jc w:val="both"/>
      </w:pPr>
      <w:r>
        <w:rPr>
          <w:b/>
        </w:rPr>
        <w:t>II.Alegerea/Numirea administratorilor Societății TRANSURB S.A.,</w:t>
      </w:r>
      <w:r>
        <w:t xml:space="preserve"> în conformitate cu prevederile OUG nr.109/2011 și în conformitate cu Raportul pentru numirile finale, care include clasificarea candidaților cu motivarea acesteia, întocmit de Comisia de selectie.</w:t>
      </w:r>
    </w:p>
    <w:p w14:paraId="0F4692AA" w14:textId="77777777" w:rsidR="00BF066B" w:rsidRDefault="00BF066B" w:rsidP="00BF066B">
      <w:pPr>
        <w:jc w:val="both"/>
      </w:pPr>
      <w:r>
        <w:rPr>
          <w:b/>
        </w:rPr>
        <w:t xml:space="preserve">III.a) </w:t>
      </w:r>
      <w:r>
        <w:t xml:space="preserve">Aprobarea </w:t>
      </w:r>
      <w:r>
        <w:rPr>
          <w:b/>
        </w:rPr>
        <w:t>Contractului de mandat</w:t>
      </w:r>
      <w:r>
        <w:t xml:space="preserve"> ce va fi încheiat cu administratorii </w:t>
      </w:r>
      <w:r>
        <w:rPr>
          <w:b/>
        </w:rPr>
        <w:t>și a remuneratiei lunare fixe</w:t>
      </w:r>
      <w:r>
        <w:t xml:space="preserve"> a administratorilor.</w:t>
      </w:r>
    </w:p>
    <w:p w14:paraId="217545FF" w14:textId="77777777" w:rsidR="00BF066B" w:rsidRDefault="00BF066B" w:rsidP="00BF066B">
      <w:pPr>
        <w:jc w:val="both"/>
      </w:pPr>
      <w:r>
        <w:rPr>
          <w:b/>
        </w:rPr>
        <w:t>b)</w:t>
      </w:r>
      <w:r>
        <w:t xml:space="preserve"> Mandatarea doamnei Rus Claudia să semneze în numele și pentru Societatea TRANSURB S.A.., </w:t>
      </w:r>
    </w:p>
    <w:p w14:paraId="2B0B10FE" w14:textId="77777777" w:rsidR="00BF066B" w:rsidRDefault="00BF066B" w:rsidP="00BF066B">
      <w:pPr>
        <w:jc w:val="both"/>
      </w:pPr>
      <w:r>
        <w:t>contractele de mandat ce se vor încheia cu membrii Consiliului de Administrație numiți la pct.II.</w:t>
      </w:r>
    </w:p>
    <w:p w14:paraId="6297B371" w14:textId="77777777" w:rsidR="00BF066B" w:rsidRDefault="00BF066B" w:rsidP="00BF066B">
      <w:pPr>
        <w:pStyle w:val="Listparagraf"/>
        <w:rPr>
          <w:b/>
          <w:i/>
          <w:sz w:val="24"/>
          <w:szCs w:val="24"/>
        </w:rPr>
      </w:pPr>
    </w:p>
    <w:p w14:paraId="70CBE7B7" w14:textId="77777777" w:rsidR="00BF066B" w:rsidRDefault="00BF066B" w:rsidP="00BF066B">
      <w:pPr>
        <w:ind w:right="-31" w:firstLine="720"/>
        <w:rPr>
          <w:b/>
        </w:rPr>
      </w:pPr>
      <w:r>
        <w:rPr>
          <w:b/>
        </w:rPr>
        <w:t xml:space="preserve"> Precizăm următoarele:</w:t>
      </w:r>
    </w:p>
    <w:p w14:paraId="59854660" w14:textId="77777777" w:rsidR="00BF066B" w:rsidRDefault="00BF066B" w:rsidP="00BF066B">
      <w:pPr>
        <w:autoSpaceDE w:val="0"/>
        <w:autoSpaceDN w:val="0"/>
        <w:adjustRightInd w:val="0"/>
        <w:rPr>
          <w:rStyle w:val="part"/>
        </w:rPr>
      </w:pPr>
      <w:r>
        <w:rPr>
          <w:rStyle w:val="part"/>
        </w:rPr>
        <w:t>În conformitate cu prevederile art.111 din Legea nr.31/1990, republicată:,</w:t>
      </w:r>
    </w:p>
    <w:p w14:paraId="68E9A41E" w14:textId="77777777" w:rsidR="00BF066B" w:rsidRDefault="00BF066B" w:rsidP="00BF066B">
      <w:pPr>
        <w:autoSpaceDE w:val="0"/>
        <w:autoSpaceDN w:val="0"/>
        <w:adjustRightInd w:val="0"/>
        <w:jc w:val="both"/>
        <w:rPr>
          <w:i/>
          <w:lang w:eastAsia="en-US"/>
        </w:rPr>
      </w:pPr>
      <w:r>
        <w:rPr>
          <w:sz w:val="28"/>
          <w:szCs w:val="28"/>
          <w:lang w:eastAsia="en-US"/>
        </w:rPr>
        <w:t xml:space="preserve">    “</w:t>
      </w:r>
      <w:r>
        <w:rPr>
          <w:i/>
          <w:lang w:eastAsia="en-US"/>
        </w:rPr>
        <w:t>(2) În afară de dezbaterea altor probleme înscrise la ordinea de zi, adunarea generală este obligată:</w:t>
      </w:r>
    </w:p>
    <w:p w14:paraId="664A0B88" w14:textId="77777777" w:rsidR="00BF066B" w:rsidRDefault="00BF066B" w:rsidP="00BF066B">
      <w:pPr>
        <w:autoSpaceDE w:val="0"/>
        <w:autoSpaceDN w:val="0"/>
        <w:adjustRightInd w:val="0"/>
        <w:jc w:val="both"/>
        <w:rPr>
          <w:i/>
          <w:iCs/>
          <w:lang w:eastAsia="en-US"/>
        </w:rPr>
      </w:pPr>
      <w:r>
        <w:rPr>
          <w:i/>
          <w:iCs/>
          <w:lang w:eastAsia="en-US"/>
        </w:rPr>
        <w:t xml:space="preserve">    b) să aleagă şi să revoce membrii consiliului de administraţie, respectiv ai consiliului de supraveghere, şi cenzorii;”</w:t>
      </w:r>
    </w:p>
    <w:p w14:paraId="41A94B2E" w14:textId="77777777" w:rsidR="00BF066B" w:rsidRDefault="00BF066B" w:rsidP="00BF066B">
      <w:pPr>
        <w:autoSpaceDE w:val="0"/>
        <w:autoSpaceDN w:val="0"/>
        <w:adjustRightInd w:val="0"/>
        <w:jc w:val="both"/>
        <w:rPr>
          <w:iCs/>
          <w:lang w:eastAsia="en-US"/>
        </w:rPr>
      </w:pPr>
    </w:p>
    <w:p w14:paraId="16B5F755" w14:textId="77777777" w:rsidR="00BF066B" w:rsidRDefault="00BF066B" w:rsidP="00BF066B">
      <w:pPr>
        <w:autoSpaceDE w:val="0"/>
        <w:autoSpaceDN w:val="0"/>
        <w:adjustRightInd w:val="0"/>
        <w:jc w:val="both"/>
        <w:rPr>
          <w:lang w:eastAsia="en-US"/>
        </w:rPr>
      </w:pPr>
      <w:r>
        <w:rPr>
          <w:lang w:eastAsia="en-US"/>
        </w:rPr>
        <w:t>În conformitate cu prevederile art. 144^1 din Legea nr.31/1990:</w:t>
      </w:r>
    </w:p>
    <w:p w14:paraId="5DDE46A1" w14:textId="77777777" w:rsidR="00BF066B" w:rsidRDefault="00BF066B" w:rsidP="00BF066B">
      <w:pPr>
        <w:autoSpaceDE w:val="0"/>
        <w:autoSpaceDN w:val="0"/>
        <w:adjustRightInd w:val="0"/>
        <w:jc w:val="both"/>
        <w:rPr>
          <w:i/>
          <w:iCs/>
          <w:lang w:eastAsia="en-US"/>
        </w:rPr>
      </w:pPr>
      <w:r>
        <w:rPr>
          <w:i/>
          <w:iCs/>
          <w:lang w:eastAsia="en-US"/>
        </w:rPr>
        <w:t xml:space="preserve">    “(1) Membrii consiliului de administraţie îşi vor exercita mandatul cu prudenţa şi diligenţa unui bun administrator.</w:t>
      </w:r>
    </w:p>
    <w:p w14:paraId="334864A8" w14:textId="77777777" w:rsidR="00BF066B" w:rsidRDefault="00BF066B" w:rsidP="00BF066B">
      <w:pPr>
        <w:autoSpaceDE w:val="0"/>
        <w:autoSpaceDN w:val="0"/>
        <w:adjustRightInd w:val="0"/>
        <w:jc w:val="both"/>
        <w:rPr>
          <w:i/>
          <w:iCs/>
          <w:lang w:eastAsia="en-US"/>
        </w:rPr>
      </w:pPr>
      <w:r>
        <w:rPr>
          <w:i/>
          <w:iCs/>
          <w:lang w:eastAsia="en-US"/>
        </w:rPr>
        <w:t xml:space="preserve">    (2) Administratorul nu încalcă obligaţia prevăzută la alin. (1), dacă în momentul luării unei decizii de afaceri el este în mod rezonabil îndreptăţit să considere că acţionează în interesul societăţii şi pe baza unor informaţii adecvate.</w:t>
      </w:r>
    </w:p>
    <w:p w14:paraId="7B4A5685" w14:textId="77777777" w:rsidR="00BF066B" w:rsidRDefault="00BF066B" w:rsidP="00BF066B">
      <w:pPr>
        <w:autoSpaceDE w:val="0"/>
        <w:autoSpaceDN w:val="0"/>
        <w:adjustRightInd w:val="0"/>
        <w:jc w:val="both"/>
        <w:rPr>
          <w:i/>
          <w:iCs/>
          <w:lang w:eastAsia="en-US"/>
        </w:rPr>
      </w:pPr>
      <w:r>
        <w:rPr>
          <w:i/>
          <w:iCs/>
          <w:lang w:eastAsia="en-US"/>
        </w:rPr>
        <w:t xml:space="preserve">    (3) Decizie de afaceri, în sensul prezentei legi, este orice decizie de a lua sau de a nu lua anumite măsuri cu privire la administrarea societăţii.</w:t>
      </w:r>
    </w:p>
    <w:p w14:paraId="6DE6362F" w14:textId="77777777" w:rsidR="00BF066B" w:rsidRDefault="00BF066B" w:rsidP="00BF066B">
      <w:pPr>
        <w:autoSpaceDE w:val="0"/>
        <w:autoSpaceDN w:val="0"/>
        <w:adjustRightInd w:val="0"/>
        <w:jc w:val="both"/>
        <w:rPr>
          <w:i/>
          <w:iCs/>
          <w:lang w:eastAsia="en-US"/>
        </w:rPr>
      </w:pPr>
      <w:r>
        <w:rPr>
          <w:i/>
          <w:iCs/>
          <w:lang w:eastAsia="en-US"/>
        </w:rPr>
        <w:t xml:space="preserve">    (4) Membrii consiliului de administraţie îşi vor exercita mandatul cu loialitate, în interesul societăţii.</w:t>
      </w:r>
    </w:p>
    <w:p w14:paraId="33B98B4E" w14:textId="77777777" w:rsidR="00BF066B" w:rsidRDefault="00BF066B" w:rsidP="00BF066B">
      <w:pPr>
        <w:autoSpaceDE w:val="0"/>
        <w:autoSpaceDN w:val="0"/>
        <w:adjustRightInd w:val="0"/>
        <w:jc w:val="both"/>
        <w:rPr>
          <w:i/>
          <w:iCs/>
          <w:lang w:eastAsia="en-US"/>
        </w:rPr>
      </w:pPr>
      <w:r>
        <w:rPr>
          <w:i/>
          <w:iCs/>
          <w:lang w:eastAsia="en-US"/>
        </w:rPr>
        <w:t xml:space="preserve">    (5) Membrii consiliului de administraţie nu vor divulga informaţiile confidenţiale şi secretele comerciale ale societăţii, la care au acces în calitatea lor de administratori. Această obligaţie le revine şi după încetarea mandatului de administrator.</w:t>
      </w:r>
    </w:p>
    <w:p w14:paraId="70220E44" w14:textId="77777777" w:rsidR="00BF066B" w:rsidRDefault="00BF066B" w:rsidP="00BF066B">
      <w:pPr>
        <w:autoSpaceDE w:val="0"/>
        <w:autoSpaceDN w:val="0"/>
        <w:adjustRightInd w:val="0"/>
        <w:jc w:val="both"/>
        <w:rPr>
          <w:b/>
          <w:i/>
          <w:iCs/>
          <w:lang w:eastAsia="en-US"/>
        </w:rPr>
      </w:pPr>
      <w:r>
        <w:rPr>
          <w:i/>
          <w:iCs/>
          <w:lang w:eastAsia="en-US"/>
        </w:rPr>
        <w:t xml:space="preserve">    (6) Conţinutul şi durata obligaţiilor prevăzute la alin. (5) sunt stipulate în </w:t>
      </w:r>
      <w:r>
        <w:rPr>
          <w:b/>
          <w:i/>
          <w:iCs/>
          <w:lang w:eastAsia="en-US"/>
        </w:rPr>
        <w:t>contractul de administraţie.”</w:t>
      </w:r>
    </w:p>
    <w:p w14:paraId="658A4C39" w14:textId="77777777" w:rsidR="00BF066B" w:rsidRDefault="00BF066B" w:rsidP="00BF066B">
      <w:pPr>
        <w:autoSpaceDE w:val="0"/>
        <w:autoSpaceDN w:val="0"/>
        <w:adjustRightInd w:val="0"/>
        <w:rPr>
          <w:lang w:eastAsia="en-US"/>
        </w:rPr>
      </w:pPr>
      <w:r>
        <w:rPr>
          <w:b/>
          <w:i/>
          <w:iCs/>
          <w:lang w:eastAsia="en-US"/>
        </w:rPr>
        <w:tab/>
      </w:r>
      <w:r>
        <w:rPr>
          <w:iCs/>
          <w:lang w:eastAsia="en-US"/>
        </w:rPr>
        <w:t>În aceeaşi ordine de idei, precizăm că potrivit art.</w:t>
      </w:r>
      <w:r>
        <w:rPr>
          <w:lang w:eastAsia="en-US"/>
        </w:rPr>
        <w:t xml:space="preserve">37 din OUG nr.109/2011, </w:t>
      </w:r>
    </w:p>
    <w:p w14:paraId="059B1AED" w14:textId="77777777" w:rsidR="00BF066B" w:rsidRDefault="00BF066B" w:rsidP="00BF066B">
      <w:pPr>
        <w:autoSpaceDE w:val="0"/>
        <w:autoSpaceDN w:val="0"/>
        <w:adjustRightInd w:val="0"/>
        <w:jc w:val="both"/>
        <w:rPr>
          <w:i/>
          <w:iCs/>
          <w:lang w:eastAsia="en-US"/>
        </w:rPr>
      </w:pPr>
      <w:r>
        <w:rPr>
          <w:i/>
          <w:iCs/>
          <w:lang w:eastAsia="en-US"/>
        </w:rPr>
        <w:t xml:space="preserve">   “ (1) Remuneraţia membrilor consiliului de administraţie sau, după caz, a membrilor consiliului de supraveghere este stabilită de adunarea generală a acţionarilor în structura şi limitele prevăzute la alin. (3) şi (4).</w:t>
      </w:r>
    </w:p>
    <w:p w14:paraId="2A649F03" w14:textId="77777777" w:rsidR="00BF066B" w:rsidRDefault="00BF066B" w:rsidP="00BF066B">
      <w:pPr>
        <w:autoSpaceDE w:val="0"/>
        <w:autoSpaceDN w:val="0"/>
        <w:adjustRightInd w:val="0"/>
        <w:jc w:val="both"/>
        <w:rPr>
          <w:i/>
          <w:iCs/>
          <w:lang w:eastAsia="en-US"/>
        </w:rPr>
      </w:pPr>
      <w:r>
        <w:rPr>
          <w:i/>
          <w:iCs/>
          <w:lang w:eastAsia="en-US"/>
        </w:rPr>
        <w:t xml:space="preserve">    (2) Remuneraţia membrilor consiliului de administraţie sau, după caz, a membrilor consiliului de supraveghere este formată dintr-o indemnizaţie fixă lunară şi o componentă variabilă constând într-o cotă de participare la profitul net al societăţii, o schemă de pensii sau o altă formă de remunerare pe baza indicatorilor de performanţă.</w:t>
      </w:r>
    </w:p>
    <w:p w14:paraId="7134F04E" w14:textId="77777777" w:rsidR="00BF066B" w:rsidRDefault="00BF066B" w:rsidP="00BF066B">
      <w:pPr>
        <w:autoSpaceDE w:val="0"/>
        <w:autoSpaceDN w:val="0"/>
        <w:adjustRightInd w:val="0"/>
        <w:jc w:val="both"/>
        <w:rPr>
          <w:b/>
          <w:i/>
          <w:iCs/>
          <w:lang w:eastAsia="en-US"/>
        </w:rPr>
      </w:pPr>
      <w:r>
        <w:rPr>
          <w:i/>
          <w:iCs/>
          <w:lang w:eastAsia="en-US"/>
        </w:rPr>
        <w:t xml:space="preserve">    (3) Indemnizaţia fixă lunară a </w:t>
      </w:r>
      <w:r>
        <w:rPr>
          <w:b/>
          <w:i/>
          <w:iCs/>
          <w:lang w:eastAsia="en-US"/>
        </w:rPr>
        <w:t>membrilor neexecutivi nu poate depăşi media pe ultimele 12 luni a câştigului salarial mediu brut lunar din ramura în care îşi desfăşoară activitatea societatea, comunicat de Institutul Naţional de Statistică anterior numirii.”</w:t>
      </w:r>
    </w:p>
    <w:p w14:paraId="16F3E5B6" w14:textId="77777777" w:rsidR="00BF066B" w:rsidRDefault="00BF066B" w:rsidP="00BF066B">
      <w:pPr>
        <w:autoSpaceDE w:val="0"/>
        <w:autoSpaceDN w:val="0"/>
        <w:adjustRightInd w:val="0"/>
        <w:jc w:val="both"/>
        <w:rPr>
          <w:iCs/>
          <w:lang w:eastAsia="en-US"/>
        </w:rPr>
      </w:pPr>
      <w:r>
        <w:rPr>
          <w:i/>
          <w:iCs/>
          <w:lang w:eastAsia="en-US"/>
        </w:rPr>
        <w:tab/>
      </w:r>
      <w:r>
        <w:rPr>
          <w:iCs/>
          <w:lang w:eastAsia="en-US"/>
        </w:rPr>
        <w:t>Potrivit Institutului Național de Statistică,</w:t>
      </w:r>
      <w:r>
        <w:rPr>
          <w:i/>
          <w:iCs/>
          <w:lang w:eastAsia="en-US"/>
        </w:rPr>
        <w:t xml:space="preserve"> la data  prezentei </w:t>
      </w:r>
      <w:r>
        <w:rPr>
          <w:iCs/>
          <w:lang w:eastAsia="en-US"/>
        </w:rPr>
        <w:t>media pe ultimele 12 luni a câştigului salarial mediu brut lunar din ramura de activitate a Societații TRANSURB S.A. este  de 2.914 lei/brut.</w:t>
      </w:r>
    </w:p>
    <w:p w14:paraId="25C036E2" w14:textId="77777777" w:rsidR="00BF066B" w:rsidRDefault="00BF066B" w:rsidP="00BF066B">
      <w:pPr>
        <w:ind w:right="-31" w:firstLine="720"/>
        <w:jc w:val="both"/>
        <w:rPr>
          <w:b/>
        </w:rPr>
      </w:pPr>
      <w:r>
        <w:rPr>
          <w:iCs/>
          <w:lang w:eastAsia="en-US"/>
        </w:rPr>
        <w:t xml:space="preserve">Prin Hotărârea AGA nr.108/12.01.2017, </w:t>
      </w:r>
      <w:r>
        <w:t xml:space="preserve">s-a aprobat Bugetul de venituri şi cheltuieli pe anul 2017 al companiei TRANSURB S.A., unde s-a prevăzut suma de </w:t>
      </w:r>
      <w:r>
        <w:rPr>
          <w:b/>
        </w:rPr>
        <w:t>460 lei/brut</w:t>
      </w:r>
      <w:r>
        <w:t xml:space="preserve">, cu titlu de </w:t>
      </w:r>
      <w:r>
        <w:rPr>
          <w:b/>
        </w:rPr>
        <w:t>indemnizaţie fixă lunară pentru administratori.</w:t>
      </w:r>
    </w:p>
    <w:p w14:paraId="5A0645AE" w14:textId="77777777" w:rsidR="00BF066B" w:rsidRDefault="00BF066B" w:rsidP="00BF066B">
      <w:pPr>
        <w:ind w:firstLine="720"/>
        <w:jc w:val="both"/>
        <w:rPr>
          <w:iCs/>
          <w:lang w:eastAsia="en-US"/>
        </w:rPr>
      </w:pPr>
    </w:p>
    <w:p w14:paraId="3DAC0C49" w14:textId="77777777" w:rsidR="00BF066B" w:rsidRDefault="00BF066B" w:rsidP="00BF066B">
      <w:pPr>
        <w:ind w:firstLine="720"/>
        <w:jc w:val="both"/>
        <w:rPr>
          <w:i/>
          <w:iCs/>
          <w:lang w:eastAsia="en-US"/>
        </w:rPr>
      </w:pPr>
      <w:r>
        <w:rPr>
          <w:iCs/>
          <w:lang w:eastAsia="en-US"/>
        </w:rPr>
        <w:t>Având în vedere cele de mai sus, avizăm favorabil Proiectul de hotărâre propus precumși anexele acestuia.</w:t>
      </w:r>
    </w:p>
    <w:p w14:paraId="0C6031D3" w14:textId="77777777" w:rsidR="00BF066B" w:rsidRDefault="00BF066B" w:rsidP="00BF066B">
      <w:pPr>
        <w:pStyle w:val="Indentcorptext2"/>
        <w:tabs>
          <w:tab w:val="left" w:pos="0"/>
        </w:tabs>
        <w:spacing w:line="240" w:lineRule="auto"/>
        <w:ind w:left="0" w:right="-301"/>
        <w:jc w:val="both"/>
        <w:rPr>
          <w:sz w:val="24"/>
          <w:szCs w:val="24"/>
        </w:rPr>
      </w:pPr>
    </w:p>
    <w:p w14:paraId="6164354E" w14:textId="77777777" w:rsidR="00BF066B" w:rsidRDefault="00BF066B" w:rsidP="00BF066B">
      <w:pPr>
        <w:jc w:val="both"/>
      </w:pPr>
    </w:p>
    <w:p w14:paraId="5C5DE061" w14:textId="77777777" w:rsidR="00BF066B" w:rsidRDefault="00BF066B" w:rsidP="00BF066B">
      <w:pPr>
        <w:jc w:val="both"/>
      </w:pPr>
    </w:p>
    <w:p w14:paraId="1875CA6C" w14:textId="77777777" w:rsidR="00BF066B" w:rsidRDefault="00BF066B" w:rsidP="00BF066B">
      <w:pPr>
        <w:jc w:val="both"/>
      </w:pPr>
      <w:r>
        <w:t xml:space="preserve">     </w:t>
      </w:r>
    </w:p>
    <w:p w14:paraId="79E35B43" w14:textId="77777777" w:rsidR="00BF066B" w:rsidRDefault="00BF066B" w:rsidP="00BF066B">
      <w:pPr>
        <w:jc w:val="both"/>
        <w:rPr>
          <w:b/>
        </w:rPr>
      </w:pPr>
      <w:r>
        <w:rPr>
          <w:b/>
        </w:rPr>
        <w:t xml:space="preserve">Compartiment Juridic </w:t>
      </w:r>
    </w:p>
    <w:p w14:paraId="223104DD" w14:textId="77777777" w:rsidR="00BF066B" w:rsidRDefault="00BF066B" w:rsidP="00BF066B">
      <w:pPr>
        <w:jc w:val="both"/>
        <w:rPr>
          <w:b/>
        </w:rPr>
      </w:pPr>
      <w:r>
        <w:rPr>
          <w:b/>
        </w:rPr>
        <w:t>Jurist Horațiu Iosip</w:t>
      </w:r>
    </w:p>
    <w:p w14:paraId="79A2766D" w14:textId="77777777" w:rsidR="001B05BD" w:rsidRPr="00BF066B" w:rsidRDefault="001B05BD" w:rsidP="00BF066B"/>
    <w:sectPr w:rsidR="001B05BD" w:rsidRPr="00BF066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GB" w:eastAsia="en-GB"/>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BF066B"/>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Indentcorptext2">
    <w:name w:val="Body Text Indent 2"/>
    <w:basedOn w:val="Normal"/>
    <w:link w:val="Indentcorptext2Caracter"/>
    <w:uiPriority w:val="99"/>
    <w:semiHidden/>
    <w:unhideWhenUsed/>
    <w:rsid w:val="00BF066B"/>
    <w:pPr>
      <w:spacing w:after="120" w:line="480" w:lineRule="auto"/>
      <w:ind w:left="360"/>
    </w:pPr>
    <w:rPr>
      <w:sz w:val="20"/>
      <w:szCs w:val="20"/>
      <w:lang w:val="en-US"/>
    </w:rPr>
  </w:style>
  <w:style w:type="character" w:customStyle="1" w:styleId="Indentcorptext2Caracter">
    <w:name w:val="Indent corp text 2 Caracter"/>
    <w:basedOn w:val="Fontdeparagrafimplicit"/>
    <w:link w:val="Indentcorptext2"/>
    <w:uiPriority w:val="99"/>
    <w:semiHidden/>
    <w:rsid w:val="00BF066B"/>
    <w:rPr>
      <w:rFonts w:ascii="Times New Roman" w:eastAsia="Times New Roman" w:hAnsi="Times New Roman"/>
      <w:lang w:eastAsia="ro-RO"/>
    </w:rPr>
  </w:style>
  <w:style w:type="paragraph" w:styleId="Listparagraf">
    <w:name w:val="List Paragraph"/>
    <w:basedOn w:val="Normal"/>
    <w:qFormat/>
    <w:rsid w:val="00BF066B"/>
    <w:pPr>
      <w:ind w:left="720"/>
    </w:pPr>
    <w:rPr>
      <w:sz w:val="20"/>
      <w:szCs w:val="20"/>
      <w:lang w:val="en-US"/>
    </w:rPr>
  </w:style>
  <w:style w:type="character" w:customStyle="1" w:styleId="part">
    <w:name w:val="p_art"/>
    <w:rsid w:val="00BF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 w:id="150720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Aprobare mandatare Rus Cludia AGA Transurb.</DocumentSetDescription>
    <Nume_x0020_proiect_x0020_HCL xmlns="49ad8bbe-11e1-42b2-a965-6a341b5f7ad4">Proiect de Hotărâre privind aprobarea mandatării  doamnei RUS CLAUDIA ca reprezentant al CLM Dej în AGA Transurb din data de 02.06.2017 </Nume_x0020_proiect_x0020_HCL>
    <_dlc_DocId xmlns="49ad8bbe-11e1-42b2-a965-6a341b5f7ad4">PMD17-1485498287-684</_dlc_DocId>
    <_dlc_DocIdUrl xmlns="49ad8bbe-11e1-42b2-a965-6a341b5f7ad4">
      <Url>http://smdoc/Situri/CL/_layouts/15/DocIdRedir.aspx?ID=PMD17-1485498287-684</Url>
      <Description>PMD17-1485498287-684</Description>
    </_dlc_DocIdUrl>
    <Compartiment xmlns="49ad8bbe-11e1-42b2-a965-6a341b5f7ad4">4</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4779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Aprobare mandatare Rus Cludia AGA Transurb - Raport de specialitate.docx</dc:title>
  <dc:subject/>
  <dc:creator>Juridic</dc:creator>
  <cp:keywords/>
  <cp:lastModifiedBy>Cristina.Pop</cp:lastModifiedBy>
  <cp:revision>3</cp:revision>
  <cp:lastPrinted>2015-12-10T10:20:00Z</cp:lastPrinted>
  <dcterms:created xsi:type="dcterms:W3CDTF">2016-03-18T10:38:00Z</dcterms:created>
  <dcterms:modified xsi:type="dcterms:W3CDTF">2017-04-12T11:46:00Z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41489da3-3b31-4d3c-abc9-63bf5d81952f</vt:lpwstr>
  </property>
  <property fmtid="{D5CDD505-2E9C-101B-9397-08002B2CF9AE}" pid="4" name="_docset_NoMedatataSyncRequired">
    <vt:lpwstr>False</vt:lpwstr>
  </property>
</Properties>
</file>